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C92687" w14:textId="69C6A84E" w:rsidR="00295E35" w:rsidRDefault="00295E35"/>
    <w:p w14:paraId="0533B518" w14:textId="50750B96" w:rsidR="00295E35" w:rsidRDefault="00295E35">
      <w:r>
        <w:rPr>
          <w:noProof/>
        </w:rPr>
        <w:drawing>
          <wp:inline distT="0" distB="0" distL="0" distR="0" wp14:anchorId="182B1697" wp14:editId="4FC4EC6A">
            <wp:extent cx="5516880" cy="1753348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696" cy="1765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4A6923" w14:textId="1F7E717A" w:rsidR="00295E35" w:rsidRDefault="00295E35"/>
    <w:p w14:paraId="50D40CC4" w14:textId="71FAA4ED" w:rsidR="00295E35" w:rsidRDefault="00295E35"/>
    <w:p w14:paraId="3795FD40" w14:textId="77777777" w:rsidR="00295E35" w:rsidRDefault="00295E35"/>
    <w:tbl>
      <w:tblPr>
        <w:tblW w:w="9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295E35" w14:paraId="28D0D9B3" w14:textId="77777777" w:rsidTr="00295E35">
        <w:trPr>
          <w:jc w:val="center"/>
        </w:trPr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295E35" w14:paraId="1CF26723" w14:textId="77777777">
              <w:tc>
                <w:tcPr>
                  <w:tcW w:w="5000" w:type="pct"/>
                  <w:hideMark/>
                </w:tcPr>
                <w:p w14:paraId="4C336B7C" w14:textId="77777777" w:rsidR="00295E35" w:rsidRDefault="00295E35">
                  <w:pPr>
                    <w:pStyle w:val="Nadpis1"/>
                    <w:spacing w:after="390"/>
                    <w:rPr>
                      <w:rFonts w:ascii="Helvetica" w:eastAsia="Times New Roman" w:hAnsi="Helvetica"/>
                      <w:color w:val="444444"/>
                    </w:rPr>
                  </w:pPr>
                  <w:r>
                    <w:rPr>
                      <w:rFonts w:ascii="Helvetica" w:eastAsia="Times New Roman" w:hAnsi="Helvetica"/>
                      <w:color w:val="444444"/>
                    </w:rPr>
                    <w:t>Komplexní řada svařovacích traktorů.</w:t>
                  </w:r>
                </w:p>
                <w:p w14:paraId="6BAF5BAC" w14:textId="715ABF99" w:rsidR="00295E35" w:rsidRDefault="00295E35">
                  <w:pPr>
                    <w:pStyle w:val="Normlnweb"/>
                    <w:spacing w:after="240" w:afterAutospacing="0" w:line="360" w:lineRule="atLeast"/>
                    <w:rPr>
                      <w:rFonts w:ascii="Helvetica" w:hAnsi="Helvetica"/>
                      <w:color w:val="444444"/>
                      <w:sz w:val="23"/>
                      <w:szCs w:val="23"/>
                    </w:rPr>
                  </w:pPr>
                  <w:r>
                    <w:rPr>
                      <w:rFonts w:ascii="Helvetica" w:hAnsi="Helvetica"/>
                      <w:noProof/>
                      <w:color w:val="444444"/>
                      <w:sz w:val="23"/>
                      <w:szCs w:val="23"/>
                    </w:rPr>
                    <w:drawing>
                      <wp:inline distT="0" distB="0" distL="0" distR="0" wp14:anchorId="15AA956E" wp14:editId="1ADED33E">
                        <wp:extent cx="1905000" cy="1905000"/>
                        <wp:effectExtent l="0" t="0" r="0" b="0"/>
                        <wp:docPr id="2" name="Obrázek 2" descr="capital equipment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apital equipment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905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Helvetica" w:hAnsi="Helvetica"/>
                      <w:color w:val="444444"/>
                      <w:sz w:val="23"/>
                      <w:szCs w:val="23"/>
                    </w:rPr>
                    <w:t>S více než 70 lety zkušeností se svařovacími traktory vám ESAB přináší jedny z nejlepších a nejuniverzálnějších traktorů na trhu.</w:t>
                  </w:r>
                  <w:r>
                    <w:rPr>
                      <w:rFonts w:ascii="Helvetica" w:hAnsi="Helvetica"/>
                      <w:color w:val="444444"/>
                      <w:sz w:val="23"/>
                      <w:szCs w:val="23"/>
                    </w:rPr>
                    <w:br/>
                    <w:t xml:space="preserve">Náš traktor má k dispozici A2 </w:t>
                  </w:r>
                  <w:proofErr w:type="spellStart"/>
                  <w:r>
                    <w:rPr>
                      <w:rFonts w:ascii="Helvetica" w:hAnsi="Helvetica"/>
                      <w:color w:val="444444"/>
                      <w:sz w:val="23"/>
                      <w:szCs w:val="23"/>
                    </w:rPr>
                    <w:t>Multitrac</w:t>
                  </w:r>
                  <w:proofErr w:type="spellEnd"/>
                  <w:r>
                    <w:rPr>
                      <w:rFonts w:ascii="Helvetica" w:hAnsi="Helvetica"/>
                      <w:color w:val="444444"/>
                      <w:sz w:val="23"/>
                      <w:szCs w:val="23"/>
                    </w:rPr>
                    <w:t xml:space="preserve"> vhodný pro tupé i koutové svary s extrémně rychlou výměnou a také odolný A6 </w:t>
                  </w:r>
                  <w:proofErr w:type="spellStart"/>
                  <w:r>
                    <w:rPr>
                      <w:rFonts w:ascii="Helvetica" w:hAnsi="Helvetica"/>
                      <w:color w:val="444444"/>
                      <w:sz w:val="23"/>
                      <w:szCs w:val="23"/>
                    </w:rPr>
                    <w:t>Mastertrac</w:t>
                  </w:r>
                  <w:proofErr w:type="spellEnd"/>
                  <w:r>
                    <w:rPr>
                      <w:rFonts w:ascii="Helvetica" w:hAnsi="Helvetica"/>
                      <w:color w:val="444444"/>
                      <w:sz w:val="23"/>
                      <w:szCs w:val="23"/>
                    </w:rPr>
                    <w:t xml:space="preserve"> pro těžkou výrobu.</w:t>
                  </w:r>
                </w:p>
                <w:p w14:paraId="415CB757" w14:textId="77777777" w:rsidR="00295E35" w:rsidRDefault="00295E35">
                  <w:pPr>
                    <w:pStyle w:val="Normlnweb"/>
                    <w:spacing w:after="240" w:afterAutospacing="0" w:line="360" w:lineRule="atLeast"/>
                    <w:rPr>
                      <w:rFonts w:ascii="Helvetica" w:hAnsi="Helvetica"/>
                      <w:color w:val="444444"/>
                      <w:sz w:val="23"/>
                      <w:szCs w:val="23"/>
                    </w:rPr>
                  </w:pPr>
                  <w:hyperlink r:id="rId7" w:tgtFrame="_blank" w:history="1">
                    <w:r>
                      <w:rPr>
                        <w:rStyle w:val="Hypertextovodkaz"/>
                        <w:rFonts w:ascii="Helvetica" w:hAnsi="Helvetica"/>
                        <w:sz w:val="23"/>
                        <w:szCs w:val="23"/>
                      </w:rPr>
                      <w:t>Přeč</w:t>
                    </w:r>
                    <w:r>
                      <w:rPr>
                        <w:rStyle w:val="Hypertextovodkaz"/>
                        <w:rFonts w:ascii="Helvetica" w:hAnsi="Helvetica"/>
                        <w:sz w:val="23"/>
                        <w:szCs w:val="23"/>
                      </w:rPr>
                      <w:t>t</w:t>
                    </w:r>
                    <w:r>
                      <w:rPr>
                        <w:rStyle w:val="Hypertextovodkaz"/>
                        <w:rFonts w:ascii="Helvetica" w:hAnsi="Helvetica"/>
                        <w:sz w:val="23"/>
                        <w:szCs w:val="23"/>
                      </w:rPr>
                      <w:t>ěte si více</w:t>
                    </w:r>
                  </w:hyperlink>
                </w:p>
              </w:tc>
            </w:tr>
          </w:tbl>
          <w:p w14:paraId="1A6B7E16" w14:textId="77777777" w:rsidR="00295E35" w:rsidRDefault="00295E3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95E35" w14:paraId="6FB08C73" w14:textId="77777777" w:rsidTr="00295E35">
        <w:trPr>
          <w:jc w:val="center"/>
        </w:trPr>
        <w:tc>
          <w:tcPr>
            <w:tcW w:w="5000" w:type="pct"/>
          </w:tcPr>
          <w:p w14:paraId="6E8DCE11" w14:textId="77777777" w:rsidR="00295E35" w:rsidRDefault="00295E35">
            <w:pPr>
              <w:pStyle w:val="Nadpis1"/>
              <w:spacing w:after="390"/>
              <w:rPr>
                <w:rFonts w:ascii="Helvetica" w:eastAsia="Times New Roman" w:hAnsi="Helvetica"/>
                <w:color w:val="444444"/>
              </w:rPr>
            </w:pPr>
          </w:p>
          <w:p w14:paraId="4875F122" w14:textId="63091595" w:rsidR="00295E35" w:rsidRDefault="00295E35">
            <w:pPr>
              <w:pStyle w:val="Nadpis1"/>
              <w:spacing w:after="390"/>
              <w:rPr>
                <w:rFonts w:ascii="Helvetica" w:eastAsia="Times New Roman" w:hAnsi="Helvetica"/>
                <w:color w:val="444444"/>
              </w:rPr>
            </w:pPr>
          </w:p>
        </w:tc>
      </w:tr>
    </w:tbl>
    <w:p w14:paraId="38E216EB" w14:textId="77777777" w:rsidR="00295E35" w:rsidRDefault="00295E35" w:rsidP="00295E35">
      <w:pPr>
        <w:pStyle w:val="Nadpis1"/>
        <w:rPr>
          <w:rFonts w:ascii="Helvetica" w:eastAsia="Times New Roman" w:hAnsi="Helvetica"/>
          <w:color w:val="444444"/>
        </w:rPr>
      </w:pPr>
    </w:p>
    <w:p w14:paraId="1A934AA6" w14:textId="77777777" w:rsidR="00295E35" w:rsidRDefault="00295E35" w:rsidP="00295E35">
      <w:pPr>
        <w:pStyle w:val="Nadpis1"/>
        <w:rPr>
          <w:rFonts w:ascii="Helvetica" w:eastAsia="Times New Roman" w:hAnsi="Helvetica"/>
          <w:color w:val="444444"/>
        </w:rPr>
      </w:pPr>
    </w:p>
    <w:p w14:paraId="4E251C5F" w14:textId="77777777" w:rsidR="00295E35" w:rsidRDefault="00295E35" w:rsidP="00295E35">
      <w:pPr>
        <w:pStyle w:val="Nadpis1"/>
        <w:rPr>
          <w:rFonts w:ascii="Helvetica" w:eastAsia="Times New Roman" w:hAnsi="Helvetica"/>
          <w:color w:val="444444"/>
        </w:rPr>
      </w:pPr>
    </w:p>
    <w:p w14:paraId="2B67B26C" w14:textId="6BE5135F" w:rsidR="00295E35" w:rsidRDefault="00295E35" w:rsidP="00295E35">
      <w:pPr>
        <w:pStyle w:val="Nadpis1"/>
        <w:rPr>
          <w:rFonts w:ascii="Helvetica" w:eastAsia="Times New Roman" w:hAnsi="Helvetica"/>
          <w:color w:val="444444"/>
        </w:rPr>
      </w:pPr>
      <w:r>
        <w:rPr>
          <w:rFonts w:ascii="Helvetica" w:eastAsia="Times New Roman" w:hAnsi="Helvetica"/>
          <w:color w:val="444444"/>
        </w:rPr>
        <w:lastRenderedPageBreak/>
        <w:t>WARRIOR™ 400i, 500i, A 750i</w:t>
      </w:r>
    </w:p>
    <w:p w14:paraId="4434B000" w14:textId="03222D8C" w:rsidR="00295E35" w:rsidRDefault="00295E35" w:rsidP="00295E35">
      <w:pPr>
        <w:pStyle w:val="Nadpis1"/>
        <w:rPr>
          <w:rFonts w:ascii="Helvetica" w:eastAsia="Times New Roman" w:hAnsi="Helvetica"/>
          <w:color w:val="444444"/>
        </w:rPr>
      </w:pPr>
      <w:r>
        <w:rPr>
          <w:rFonts w:ascii="Helvetica" w:eastAsia="Times New Roman" w:hAnsi="Helvetica"/>
          <w:noProof/>
          <w:color w:val="444444"/>
        </w:rPr>
        <w:drawing>
          <wp:anchor distT="0" distB="0" distL="0" distR="0" simplePos="0" relativeHeight="251659264" behindDoc="0" locked="0" layoutInCell="1" allowOverlap="0" wp14:anchorId="1502E714" wp14:editId="0AADA00A">
            <wp:simplePos x="0" y="0"/>
            <wp:positionH relativeFrom="margin">
              <wp:posOffset>2902585</wp:posOffset>
            </wp:positionH>
            <wp:positionV relativeFrom="paragraph">
              <wp:posOffset>8255</wp:posOffset>
            </wp:positionV>
            <wp:extent cx="3093720" cy="4264660"/>
            <wp:effectExtent l="0" t="0" r="0" b="2540"/>
            <wp:wrapSquare wrapText="bothSides"/>
            <wp:docPr id="4" name="Obrázek 4" descr="hubspot image_Equipment_Warrior Robustfeed_PL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ubspot image_Equipment_Warrior Robustfeed_PL-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426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eastAsia="Times New Roman" w:hAnsi="Helvetica"/>
          <w:color w:val="444444"/>
        </w:rPr>
        <w:t>S PODAVAČEM ROBUST FEED PRO.</w:t>
      </w:r>
    </w:p>
    <w:p w14:paraId="3450D6E1" w14:textId="77777777" w:rsidR="00295E35" w:rsidRDefault="00295E35" w:rsidP="00295E35">
      <w:pPr>
        <w:pStyle w:val="Normlnweb"/>
        <w:spacing w:after="240" w:afterAutospacing="0" w:line="360" w:lineRule="atLeast"/>
        <w:rPr>
          <w:rFonts w:ascii="Helvetica" w:hAnsi="Helvetica"/>
          <w:color w:val="444444"/>
          <w:sz w:val="23"/>
          <w:szCs w:val="23"/>
        </w:rPr>
      </w:pPr>
      <w:proofErr w:type="spellStart"/>
      <w:r>
        <w:rPr>
          <w:rFonts w:ascii="Helvetica" w:hAnsi="Helvetica"/>
          <w:color w:val="444444"/>
          <w:sz w:val="23"/>
          <w:szCs w:val="23"/>
        </w:rPr>
        <w:t>Warrior</w:t>
      </w:r>
      <w:proofErr w:type="spellEnd"/>
      <w:r>
        <w:rPr>
          <w:rFonts w:ascii="Helvetica" w:hAnsi="Helvetica"/>
          <w:color w:val="444444"/>
          <w:sz w:val="23"/>
          <w:szCs w:val="23"/>
        </w:rPr>
        <w:t xml:space="preserve"> je spolehlivý svařovací zdroj určený pro různé procesy náročného svařování a vysokou produktivitu při zatížení při svařování až 500 A. Spolu s podavačem Robust </w:t>
      </w:r>
      <w:proofErr w:type="spellStart"/>
      <w:r>
        <w:rPr>
          <w:rFonts w:ascii="Helvetica" w:hAnsi="Helvetica"/>
          <w:color w:val="444444"/>
          <w:sz w:val="23"/>
          <w:szCs w:val="23"/>
        </w:rPr>
        <w:t>Feed</w:t>
      </w:r>
      <w:proofErr w:type="spellEnd"/>
      <w:r>
        <w:rPr>
          <w:rFonts w:ascii="Helvetica" w:hAnsi="Helvetica"/>
          <w:color w:val="444444"/>
          <w:sz w:val="23"/>
          <w:szCs w:val="23"/>
        </w:rPr>
        <w:t xml:space="preserve"> Pro se jedná o nejodolnější a nejspolehlivější kombinace pro </w:t>
      </w:r>
      <w:proofErr w:type="spellStart"/>
      <w:r>
        <w:rPr>
          <w:rFonts w:ascii="Helvetica" w:hAnsi="Helvetica"/>
          <w:color w:val="444444"/>
          <w:sz w:val="23"/>
          <w:szCs w:val="23"/>
        </w:rPr>
        <w:t>vysokozátěžové</w:t>
      </w:r>
      <w:proofErr w:type="spellEnd"/>
      <w:r>
        <w:rPr>
          <w:rFonts w:ascii="Helvetica" w:hAnsi="Helvetica"/>
          <w:color w:val="444444"/>
          <w:sz w:val="23"/>
          <w:szCs w:val="23"/>
        </w:rPr>
        <w:t xml:space="preserve"> svařování MIG (GMAW) s možností svařování obalenou elektrodou (MMA), TIG (GTAW) a drážkování.</w:t>
      </w:r>
    </w:p>
    <w:p w14:paraId="1C503847" w14:textId="77777777" w:rsidR="00295E35" w:rsidRDefault="00295E35" w:rsidP="00295E35">
      <w:pPr>
        <w:pStyle w:val="Normlnweb"/>
        <w:spacing w:after="240" w:afterAutospacing="0" w:line="360" w:lineRule="atLeast"/>
        <w:rPr>
          <w:rFonts w:ascii="Helvetica" w:hAnsi="Helvetica"/>
          <w:color w:val="444444"/>
          <w:sz w:val="23"/>
          <w:szCs w:val="23"/>
        </w:rPr>
      </w:pPr>
      <w:r>
        <w:rPr>
          <w:rFonts w:ascii="Helvetica" w:hAnsi="Helvetica"/>
          <w:color w:val="444444"/>
          <w:sz w:val="23"/>
          <w:szCs w:val="23"/>
        </w:rPr>
        <w:t xml:space="preserve">Svařovací zdroj </w:t>
      </w:r>
      <w:proofErr w:type="spellStart"/>
      <w:r>
        <w:rPr>
          <w:rFonts w:ascii="Helvetica" w:hAnsi="Helvetica"/>
          <w:color w:val="444444"/>
          <w:sz w:val="23"/>
          <w:szCs w:val="23"/>
        </w:rPr>
        <w:t>Warrior</w:t>
      </w:r>
      <w:proofErr w:type="spellEnd"/>
      <w:r>
        <w:rPr>
          <w:rFonts w:ascii="Helvetica" w:hAnsi="Helvetica"/>
          <w:color w:val="444444"/>
          <w:sz w:val="23"/>
          <w:szCs w:val="23"/>
        </w:rPr>
        <w:t xml:space="preserve"> 750i CC/CV je ideálním řešením pro drážkování. Vyznačuje se optimálním výkonem při použití elektrod o rozměru 12,7 mm a maximálním zatížení 850 A.</w:t>
      </w:r>
      <w:r>
        <w:rPr>
          <w:rFonts w:ascii="Helvetica" w:hAnsi="Helvetica"/>
          <w:color w:val="444444"/>
          <w:sz w:val="23"/>
          <w:szCs w:val="23"/>
        </w:rPr>
        <w:br/>
        <w:t>Invertorové technologie</w:t>
      </w:r>
    </w:p>
    <w:p w14:paraId="4C8BBAA8" w14:textId="77777777" w:rsidR="00295E35" w:rsidRDefault="00295E35" w:rsidP="00295E35">
      <w:pPr>
        <w:numPr>
          <w:ilvl w:val="0"/>
          <w:numId w:val="1"/>
        </w:numPr>
        <w:spacing w:before="100" w:beforeAutospacing="1" w:after="100" w:afterAutospacing="1" w:line="360" w:lineRule="atLeast"/>
        <w:rPr>
          <w:rFonts w:ascii="Helvetica" w:eastAsia="Times New Roman" w:hAnsi="Helvetica"/>
          <w:color w:val="444444"/>
          <w:sz w:val="23"/>
          <w:szCs w:val="23"/>
        </w:rPr>
      </w:pPr>
      <w:r>
        <w:rPr>
          <w:rFonts w:ascii="Helvetica" w:eastAsia="Times New Roman" w:hAnsi="Helvetica"/>
          <w:color w:val="444444"/>
          <w:sz w:val="23"/>
          <w:szCs w:val="23"/>
        </w:rPr>
        <w:t>Vysoké dovolené zatížení</w:t>
      </w:r>
    </w:p>
    <w:p w14:paraId="2784A815" w14:textId="77777777" w:rsidR="00295E35" w:rsidRDefault="00295E35" w:rsidP="00295E35">
      <w:pPr>
        <w:numPr>
          <w:ilvl w:val="0"/>
          <w:numId w:val="1"/>
        </w:numPr>
        <w:spacing w:before="100" w:beforeAutospacing="1" w:after="100" w:afterAutospacing="1" w:line="360" w:lineRule="atLeast"/>
        <w:rPr>
          <w:rFonts w:ascii="Helvetica" w:eastAsia="Times New Roman" w:hAnsi="Helvetica"/>
          <w:color w:val="444444"/>
          <w:sz w:val="23"/>
          <w:szCs w:val="23"/>
        </w:rPr>
      </w:pPr>
      <w:r>
        <w:rPr>
          <w:rFonts w:ascii="Helvetica" w:eastAsia="Times New Roman" w:hAnsi="Helvetica"/>
          <w:color w:val="444444"/>
          <w:sz w:val="23"/>
          <w:szCs w:val="23"/>
        </w:rPr>
        <w:t>Odolný a robustní</w:t>
      </w:r>
    </w:p>
    <w:p w14:paraId="2730FA6F" w14:textId="77777777" w:rsidR="00295E35" w:rsidRDefault="00295E35" w:rsidP="00295E35">
      <w:pPr>
        <w:numPr>
          <w:ilvl w:val="0"/>
          <w:numId w:val="1"/>
        </w:numPr>
        <w:spacing w:before="100" w:beforeAutospacing="1" w:after="100" w:afterAutospacing="1" w:line="360" w:lineRule="atLeast"/>
        <w:rPr>
          <w:rFonts w:ascii="Helvetica" w:eastAsia="Times New Roman" w:hAnsi="Helvetica"/>
          <w:color w:val="444444"/>
          <w:sz w:val="23"/>
          <w:szCs w:val="23"/>
        </w:rPr>
      </w:pPr>
      <w:r>
        <w:rPr>
          <w:rFonts w:ascii="Helvetica" w:eastAsia="Times New Roman" w:hAnsi="Helvetica"/>
          <w:color w:val="444444"/>
          <w:sz w:val="23"/>
          <w:szCs w:val="23"/>
        </w:rPr>
        <w:t>Snadno přenosný</w:t>
      </w:r>
    </w:p>
    <w:p w14:paraId="1D042EC5" w14:textId="77777777" w:rsidR="00295E35" w:rsidRDefault="00295E35" w:rsidP="00295E35">
      <w:pPr>
        <w:numPr>
          <w:ilvl w:val="0"/>
          <w:numId w:val="1"/>
        </w:numPr>
        <w:spacing w:before="100" w:beforeAutospacing="1" w:after="100" w:afterAutospacing="1" w:line="360" w:lineRule="atLeast"/>
        <w:rPr>
          <w:rFonts w:ascii="Helvetica" w:eastAsia="Times New Roman" w:hAnsi="Helvetica"/>
          <w:color w:val="444444"/>
          <w:sz w:val="23"/>
          <w:szCs w:val="23"/>
        </w:rPr>
      </w:pPr>
      <w:r>
        <w:rPr>
          <w:rFonts w:ascii="Helvetica" w:eastAsia="Times New Roman" w:hAnsi="Helvetica"/>
          <w:color w:val="444444"/>
          <w:sz w:val="23"/>
          <w:szCs w:val="23"/>
        </w:rPr>
        <w:t>Jednoduché použití</w:t>
      </w:r>
    </w:p>
    <w:p w14:paraId="4483091E" w14:textId="77777777" w:rsidR="00295E35" w:rsidRDefault="00295E35" w:rsidP="00295E35">
      <w:pPr>
        <w:pStyle w:val="Normlnweb"/>
        <w:spacing w:after="240" w:afterAutospacing="0" w:line="360" w:lineRule="atLeast"/>
        <w:rPr>
          <w:rFonts w:ascii="Helvetica" w:hAnsi="Helvetica"/>
          <w:color w:val="444444"/>
          <w:sz w:val="23"/>
          <w:szCs w:val="23"/>
        </w:rPr>
      </w:pPr>
      <w:hyperlink r:id="rId9" w:tgtFrame="_blank" w:history="1">
        <w:r>
          <w:rPr>
            <w:rStyle w:val="Hypertextovodkaz"/>
            <w:rFonts w:ascii="Helvetica" w:hAnsi="Helvetica"/>
            <w:sz w:val="23"/>
            <w:szCs w:val="23"/>
          </w:rPr>
          <w:t>Přečtěte si více</w:t>
        </w:r>
      </w:hyperlink>
    </w:p>
    <w:p w14:paraId="51DB4E07" w14:textId="00BE41E8" w:rsidR="00295E35" w:rsidRDefault="00295E35"/>
    <w:p w14:paraId="74172097" w14:textId="77777777" w:rsidR="00295E35" w:rsidRPr="00295E35" w:rsidRDefault="00295E35" w:rsidP="00295E35">
      <w:pPr>
        <w:pStyle w:val="Nadpis2"/>
        <w:rPr>
          <w:rFonts w:ascii="Helvetica" w:eastAsia="Times New Roman" w:hAnsi="Helvetica"/>
          <w:b/>
          <w:bCs/>
          <w:color w:val="444444"/>
          <w:sz w:val="36"/>
          <w:szCs w:val="36"/>
        </w:rPr>
      </w:pPr>
      <w:r w:rsidRPr="00295E35">
        <w:rPr>
          <w:rFonts w:ascii="Helvetica" w:eastAsia="Times New Roman" w:hAnsi="Helvetica"/>
          <w:b/>
          <w:bCs/>
          <w:color w:val="444444"/>
          <w:sz w:val="36"/>
          <w:szCs w:val="36"/>
        </w:rPr>
        <w:t xml:space="preserve">Plazma </w:t>
      </w:r>
      <w:proofErr w:type="spellStart"/>
      <w:r w:rsidRPr="00295E35">
        <w:rPr>
          <w:rFonts w:ascii="Helvetica" w:eastAsia="Times New Roman" w:hAnsi="Helvetica"/>
          <w:b/>
          <w:bCs/>
          <w:color w:val="444444"/>
          <w:sz w:val="36"/>
          <w:szCs w:val="36"/>
        </w:rPr>
        <w:t>Cutmaster</w:t>
      </w:r>
      <w:proofErr w:type="spellEnd"/>
      <w:r w:rsidRPr="00295E35">
        <w:rPr>
          <w:rFonts w:ascii="Helvetica" w:eastAsia="Times New Roman" w:hAnsi="Helvetica"/>
          <w:b/>
          <w:bCs/>
          <w:color w:val="444444"/>
          <w:sz w:val="36"/>
          <w:szCs w:val="36"/>
        </w:rPr>
        <w:t>® 40 s hořákem SL60™ 1Torch</w:t>
      </w:r>
    </w:p>
    <w:p w14:paraId="364A2B7B" w14:textId="79ACE7E5" w:rsidR="00295E35" w:rsidRDefault="00295E35" w:rsidP="00295E35">
      <w:pPr>
        <w:pStyle w:val="Nadpis2"/>
        <w:rPr>
          <w:rFonts w:ascii="Helvetica" w:eastAsia="Times New Roman" w:hAnsi="Helvetica"/>
          <w:color w:val="444444"/>
        </w:rPr>
      </w:pPr>
      <w:r>
        <w:rPr>
          <w:rFonts w:ascii="Helvetica" w:eastAsia="Times New Roman" w:hAnsi="Helvetica"/>
          <w:noProof/>
          <w:color w:val="444444"/>
        </w:rPr>
        <w:drawing>
          <wp:inline distT="0" distB="0" distL="0" distR="0" wp14:anchorId="4237DC9C" wp14:editId="30103ACF">
            <wp:extent cx="2247900" cy="1935480"/>
            <wp:effectExtent l="0" t="0" r="0" b="7620"/>
            <wp:docPr id="5" name="Obrázek 5" descr="ESAB_CM40_3QTR_Right_Side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SAB_CM40_3QTR_Right_Side_we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2D371" w14:textId="77777777" w:rsidR="00295E35" w:rsidRDefault="00295E35" w:rsidP="00295E35">
      <w:pPr>
        <w:pStyle w:val="Nadpis2"/>
        <w:rPr>
          <w:rFonts w:ascii="Helvetica" w:eastAsia="Times New Roman" w:hAnsi="Helvetica"/>
          <w:color w:val="444444"/>
          <w:sz w:val="21"/>
          <w:szCs w:val="21"/>
        </w:rPr>
      </w:pPr>
      <w:r>
        <w:rPr>
          <w:rFonts w:ascii="Helvetica" w:eastAsia="Times New Roman" w:hAnsi="Helvetica"/>
          <w:b/>
          <w:bCs/>
          <w:color w:val="444444"/>
          <w:sz w:val="21"/>
          <w:szCs w:val="21"/>
        </w:rPr>
        <w:t>nabízí vynikající kombinaci užitných vlastností pro konečného zákazníka a inteligentního designu. Je nabitý výkonem a nabízí nejvyšší poměr výkonu k hmotnosti na trhu. Má také nejlepší řeznou délku oblouku ve své třídě a nejzajímavější a přátelské uživatelské prostředí.</w:t>
      </w:r>
    </w:p>
    <w:p w14:paraId="0E267404" w14:textId="77777777" w:rsidR="00295E35" w:rsidRDefault="00295E35" w:rsidP="00295E35">
      <w:pPr>
        <w:pStyle w:val="Normlnweb"/>
        <w:spacing w:after="240" w:afterAutospacing="0" w:line="360" w:lineRule="atLeast"/>
        <w:rPr>
          <w:rFonts w:ascii="Helvetica" w:hAnsi="Helvetica"/>
          <w:color w:val="444444"/>
          <w:sz w:val="23"/>
          <w:szCs w:val="23"/>
        </w:rPr>
      </w:pPr>
      <w:r>
        <w:rPr>
          <w:rFonts w:ascii="Helvetica" w:hAnsi="Helvetica"/>
          <w:color w:val="444444"/>
          <w:sz w:val="23"/>
          <w:szCs w:val="23"/>
        </w:rPr>
        <w:t> </w:t>
      </w:r>
    </w:p>
    <w:p w14:paraId="743D6862" w14:textId="77777777" w:rsidR="00295E35" w:rsidRDefault="00295E35" w:rsidP="00295E35">
      <w:pPr>
        <w:pStyle w:val="Normlnweb"/>
        <w:spacing w:after="240" w:afterAutospacing="0" w:line="360" w:lineRule="atLeast"/>
        <w:rPr>
          <w:rFonts w:ascii="Helvetica" w:hAnsi="Helvetica"/>
          <w:color w:val="444444"/>
          <w:sz w:val="23"/>
          <w:szCs w:val="23"/>
        </w:rPr>
      </w:pPr>
      <w:hyperlink r:id="rId11" w:tgtFrame="_blank" w:history="1">
        <w:r>
          <w:rPr>
            <w:rStyle w:val="Hypertextovodkaz"/>
            <w:rFonts w:ascii="Helvetica" w:hAnsi="Helvetica"/>
            <w:sz w:val="23"/>
            <w:szCs w:val="23"/>
          </w:rPr>
          <w:t>Přečtěte si více</w:t>
        </w:r>
      </w:hyperlink>
    </w:p>
    <w:p w14:paraId="1DF30925" w14:textId="3C6EADFB" w:rsidR="00295E35" w:rsidRDefault="00295E35">
      <w:r>
        <w:rPr>
          <w:noProof/>
        </w:rPr>
        <w:drawing>
          <wp:inline distT="0" distB="0" distL="0" distR="0" wp14:anchorId="5486BFA1" wp14:editId="241DCDED">
            <wp:extent cx="5723890" cy="25050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1548FA" w14:textId="769DF8E8" w:rsidR="00295E35" w:rsidRDefault="00295E35"/>
    <w:p w14:paraId="52E11D85" w14:textId="77777777" w:rsidR="00295E35" w:rsidRPr="00295E35" w:rsidRDefault="00295E35" w:rsidP="00295E35">
      <w:pPr>
        <w:pStyle w:val="Nadpis2"/>
        <w:rPr>
          <w:rFonts w:ascii="Helvetica" w:eastAsia="Times New Roman" w:hAnsi="Helvetica"/>
          <w:b/>
          <w:bCs/>
          <w:color w:val="444444"/>
          <w:sz w:val="36"/>
          <w:szCs w:val="36"/>
        </w:rPr>
      </w:pPr>
      <w:r w:rsidRPr="00295E35">
        <w:rPr>
          <w:rFonts w:ascii="Helvetica" w:eastAsia="Times New Roman" w:hAnsi="Helvetica"/>
          <w:b/>
          <w:bCs/>
          <w:color w:val="444444"/>
          <w:sz w:val="36"/>
          <w:szCs w:val="36"/>
        </w:rPr>
        <w:t xml:space="preserve">Strike Gold </w:t>
      </w:r>
      <w:proofErr w:type="spellStart"/>
      <w:r w:rsidRPr="00295E35">
        <w:rPr>
          <w:rFonts w:ascii="Helvetica" w:eastAsia="Times New Roman" w:hAnsi="Helvetica"/>
          <w:b/>
          <w:bCs/>
          <w:color w:val="444444"/>
          <w:sz w:val="36"/>
          <w:szCs w:val="36"/>
        </w:rPr>
        <w:t>with</w:t>
      </w:r>
      <w:proofErr w:type="spellEnd"/>
      <w:r w:rsidRPr="00295E35">
        <w:rPr>
          <w:rFonts w:ascii="Helvetica" w:eastAsia="Times New Roman" w:hAnsi="Helvetica"/>
          <w:b/>
          <w:bCs/>
          <w:color w:val="444444"/>
          <w:sz w:val="36"/>
          <w:szCs w:val="36"/>
        </w:rPr>
        <w:t xml:space="preserve"> ESAB OK </w:t>
      </w:r>
      <w:proofErr w:type="spellStart"/>
      <w:r w:rsidRPr="00295E35">
        <w:rPr>
          <w:rFonts w:ascii="Helvetica" w:eastAsia="Times New Roman" w:hAnsi="Helvetica"/>
          <w:b/>
          <w:bCs/>
          <w:color w:val="444444"/>
          <w:sz w:val="36"/>
          <w:szCs w:val="36"/>
        </w:rPr>
        <w:t>GoldRox</w:t>
      </w:r>
      <w:proofErr w:type="spellEnd"/>
      <w:r w:rsidRPr="00295E35">
        <w:rPr>
          <w:rFonts w:ascii="Helvetica" w:eastAsia="Times New Roman" w:hAnsi="Helvetica"/>
          <w:b/>
          <w:bCs/>
          <w:color w:val="444444"/>
          <w:sz w:val="36"/>
          <w:szCs w:val="36"/>
        </w:rPr>
        <w:t xml:space="preserve"> -</w:t>
      </w:r>
    </w:p>
    <w:p w14:paraId="213653EE" w14:textId="2BB42BD8" w:rsidR="00295E35" w:rsidRDefault="00295E35" w:rsidP="00295E35">
      <w:pPr>
        <w:pStyle w:val="Nadpis2"/>
        <w:rPr>
          <w:rFonts w:ascii="Helvetica" w:eastAsia="Times New Roman" w:hAnsi="Helvetica"/>
          <w:color w:val="444444"/>
        </w:rPr>
      </w:pPr>
      <w:r>
        <w:rPr>
          <w:rFonts w:ascii="Helvetica" w:eastAsia="Times New Roman" w:hAnsi="Helvetica"/>
          <w:color w:val="444444"/>
        </w:rPr>
        <w:t>kvalitní svařovací elektroda pro všechny polohy svařování</w:t>
      </w:r>
      <w:r>
        <w:rPr>
          <w:rFonts w:ascii="Helvetica" w:eastAsia="Times New Roman" w:hAnsi="Helvetica"/>
          <w:noProof/>
          <w:color w:val="444444"/>
        </w:rPr>
        <w:drawing>
          <wp:inline distT="0" distB="0" distL="0" distR="0" wp14:anchorId="206B63D1" wp14:editId="5FD93ADD">
            <wp:extent cx="1905000" cy="1181100"/>
            <wp:effectExtent l="0" t="0" r="0" b="0"/>
            <wp:docPr id="7" name="Obrázek 7" descr="Goldrox-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oldrox-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E986B" w14:textId="77777777" w:rsidR="00295E35" w:rsidRDefault="00295E35" w:rsidP="00295E35">
      <w:pPr>
        <w:pStyle w:val="Normlnweb"/>
        <w:spacing w:after="240" w:afterAutospacing="0" w:line="360" w:lineRule="atLeast"/>
        <w:rPr>
          <w:rFonts w:ascii="Helvetica" w:hAnsi="Helvetica"/>
          <w:color w:val="444444"/>
          <w:sz w:val="23"/>
          <w:szCs w:val="23"/>
        </w:rPr>
      </w:pPr>
      <w:r>
        <w:rPr>
          <w:rFonts w:ascii="Helvetica" w:hAnsi="Helvetica"/>
          <w:color w:val="444444"/>
          <w:sz w:val="23"/>
          <w:szCs w:val="23"/>
        </w:rPr>
        <w:t xml:space="preserve">Svařovací elektrody OK </w:t>
      </w:r>
      <w:proofErr w:type="spellStart"/>
      <w:r>
        <w:rPr>
          <w:rFonts w:ascii="Helvetica" w:hAnsi="Helvetica"/>
          <w:color w:val="444444"/>
          <w:sz w:val="23"/>
          <w:szCs w:val="23"/>
        </w:rPr>
        <w:t>GoldRox</w:t>
      </w:r>
      <w:proofErr w:type="spellEnd"/>
      <w:r>
        <w:rPr>
          <w:rFonts w:ascii="Helvetica" w:hAnsi="Helvetica"/>
          <w:color w:val="444444"/>
          <w:sz w:val="23"/>
          <w:szCs w:val="23"/>
        </w:rPr>
        <w:t xml:space="preserve"> typu 6013 poskytují brilantní výkon pro každodenní svařování s vlastnostmi, které pomáhají zpracovatelům všech úrovní dovedností proměnit jejich projekty ve zlato.</w:t>
      </w:r>
    </w:p>
    <w:p w14:paraId="486A1B3C" w14:textId="77777777" w:rsidR="00295E35" w:rsidRDefault="00295E35" w:rsidP="00295E35">
      <w:pPr>
        <w:pStyle w:val="Normlnweb"/>
        <w:spacing w:after="240" w:afterAutospacing="0" w:line="360" w:lineRule="atLeast"/>
        <w:rPr>
          <w:rFonts w:ascii="Helvetica" w:hAnsi="Helvetica"/>
          <w:color w:val="444444"/>
          <w:sz w:val="23"/>
          <w:szCs w:val="23"/>
        </w:rPr>
      </w:pPr>
      <w:hyperlink r:id="rId14" w:tgtFrame="_blank" w:history="1">
        <w:r>
          <w:rPr>
            <w:rStyle w:val="Hypertextovodkaz"/>
            <w:rFonts w:ascii="Helvetica" w:hAnsi="Helvetica"/>
            <w:sz w:val="23"/>
            <w:szCs w:val="23"/>
          </w:rPr>
          <w:t>Přečtěte si více</w:t>
        </w:r>
      </w:hyperlink>
    </w:p>
    <w:p w14:paraId="2562E16E" w14:textId="77777777" w:rsidR="00295E35" w:rsidRDefault="00295E35"/>
    <w:sectPr w:rsidR="00295E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BA4DDD"/>
    <w:multiLevelType w:val="multilevel"/>
    <w:tmpl w:val="C34CE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comments="0" w:formatting="0"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E35"/>
    <w:rsid w:val="00295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1DE86"/>
  <w15:chartTrackingRefBased/>
  <w15:docId w15:val="{67BB287E-2FE2-4352-9BE3-C85C6AB6D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295E35"/>
    <w:pPr>
      <w:spacing w:after="150" w:line="240" w:lineRule="auto"/>
      <w:outlineLvl w:val="0"/>
    </w:pPr>
    <w:rPr>
      <w:rFonts w:ascii="Calibri" w:hAnsi="Calibri" w:cs="Calibri"/>
      <w:b/>
      <w:bCs/>
      <w:kern w:val="36"/>
      <w:sz w:val="39"/>
      <w:szCs w:val="39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95E3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95E35"/>
    <w:rPr>
      <w:rFonts w:ascii="Calibri" w:hAnsi="Calibri" w:cs="Calibri"/>
      <w:b/>
      <w:bCs/>
      <w:kern w:val="36"/>
      <w:sz w:val="39"/>
      <w:szCs w:val="39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295E35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295E35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295E35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95E3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08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email.esabna.com/e2t/tc/MX9S0rWkS0DW8t1M8r918J_BW58c1_74k2YSyN2C5cyQ5nxHkV3Zsc37CgVN7W726d1j1lt5qQW2vqY9y6wrrxTW6Jy4tC3lW5xXN4tDCPXhBH4WW4yKg501Zzp5wVLyxF_3qG_7cW8J_qV13bD03_N731xWXVfPV8W3jr8BW8Bm3sfW5kZxxM22jrTHW49Stgp4n0RGFVqfD4-5KkTs4W6yHmj74B055qVNwZNZ6Y9bJkW8g8Fkw96HJwRW7Fx1Pb3QJTQCVLPXDk8SnlYGW2Sw7J-6Pr2dCVnrpjF3ldmVGW2Wsr2d7fW6_KW1r3KkF3DYFkQW3gFkRF4nn10CW6LXl6g3Z9SpgW1fcljz7NDgQpW3ypkHL7RfZ26W6h-6Dw5VSSzjW4ZJbCH8933pbW7YSJgK3X94HnW8Gn_525LqKF8W1DxlW43LTl4HW5hhqtQ4YNb7cW4JNK-86BgDNrVtDPwn74wh1gN4D5NVDxFH46W82Rxmq5gFzdxW8DWBz81knQcBW6Xc_GT74dHSlW4cS--v8r_qYbW9cV_xZ1MWc_4W1wLcMn1qshnN3nHZ1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mail.esabna.com/e2t/tc/MX9S0rWkS0DW8t1M8r918J_BW58c1_74k2YSyN2C5czJ3p_b1V1-WJV7CgFztW8P63Pg7jTPQnW6WC2NY5ywgRqW1GbY_W6k30JjW4xNgy25_DdwbW4_MPX49fKSNjW3kcTkG1N2TGBW7sQPnD6xVtz5W6x49M12f-9X9Vr0ktW5p48XdW2WLgMr9dG-NcMn2B1BSbGvLW6SwPLM2b74NJW5h1dfl3Nr22pN73sc768PsfRN5yKW9P4R4VcW1qnFTn7v9_xKW1Tdtmn4zm6mkW48xLTq6Cymh7W4P4qgG4-HqgSW58GZNB26fZwlW7pHkhH5DPC6zW6XNdxH1C5zSnW2JMZlh22tc6XN60wd-yPpZksW3M-9WP9fVH9RW8WF3lK5KTQNgW19DpVZ4t1k3rW3xBYPX5NvlJcN3jYzTjRyFD6W8D1TgM59z3ks3dK11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email.esabna.com/e2t/tc/MX9S0rWkS0DW8t1M8r918J_BW58c1_74k2YSyN2C5cyQ3p_97V1-WJV7CgWhVN17ZhRqsZPPsW8SWwX06TpTnbW3pxK9G569STqW9jpGWB61xTzXW2QNxp23PkbYMW8rhjB-4-MVGtW2qccqW6xx33RW1f0JQK5V5LtMW7WrrbS8RkkJhW3bz4Y3561nTKW6prS5p5GqcjwW55F7jL4jXzV6N6p16dtKm74PW19LMxh2KrPwhVwVTJn4GzWThW2zhPcx5xFLSwW6c2Y3v1-31pgW1GCn871_xD0WV48TPm7wSScXW1ZmHvw7cJVXwW5jWX8t5-_CgzW5BQk1N8XcsqzW4mkZlw849MQHV-XM365rW6WN369X1" TargetMode="External"/><Relationship Id="rId14" Type="http://schemas.openxmlformats.org/officeDocument/2006/relationships/hyperlink" Target="https://email.esabna.com/e2t/tc/MX9S0rWkS0DW8t1M8r918J_BW58c1_74k2YSyN2C5cxD5nxG7V3Zsc37CgXyCW6n7Wnz4W6hVPVRkH4C5jfYk9W51jmxV7cy-KzW8xYGgK3GthJxW1SJp2H9687RvN7x2vXDLCS1gN2FFZ_K3fCy9W4wmWTR97mXCxW2VxRkz5kgt5NW8Jlfpf8GHKMBW5Ds2Pg3nKWWtVCXxHS28-R61W66vB8p7BL-WwW7tlZ-91ZQ8WvW6gDnYp4wGhSmW4hhCr72krlmZW7CqG3N1JD6SpW3l1Lwt81CKXtVzKRTf2GnbymW5cj8vQ2S9gQRF8bsyKKvw3TW2KHZ2C5hkY-QVwZJl853Qxm_W49sYxP8G9h4SW2MfKXZ1DcP8rW61QKMz914S24W5y6J5h526HDgW6jBd9C2GH1cwW7K3BKq8JCt0lW7C5JB52nXRZ0W5gHgmb6nqRvwW6WVM-064Tq503jC91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550</Words>
  <Characters>3251</Characters>
  <Application>Microsoft Office Word</Application>
  <DocSecurity>0</DocSecurity>
  <Lines>27</Lines>
  <Paragraphs>7</Paragraphs>
  <ScaleCrop>false</ScaleCrop>
  <Company/>
  <LinksUpToDate>false</LinksUpToDate>
  <CharactersWithSpaces>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dcterms:created xsi:type="dcterms:W3CDTF">2020-12-01T12:28:00Z</dcterms:created>
  <dcterms:modified xsi:type="dcterms:W3CDTF">2020-12-01T12:35:00Z</dcterms:modified>
</cp:coreProperties>
</file>